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AFD" w:rsidRPr="008B7D93" w:rsidRDefault="00302199" w:rsidP="006737C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14"/>
      <w:bookmarkStart w:id="1" w:name="_Toc5107175"/>
      <w:r w:rsidRPr="00FD31CA">
        <w:rPr>
          <w:sz w:val="22"/>
          <w:szCs w:val="22"/>
        </w:rPr>
        <w:t xml:space="preserve">Приложение </w:t>
      </w:r>
      <w:bookmarkStart w:id="2" w:name="RefSCH14_No"/>
      <w:r w:rsidRPr="00FD31CA">
        <w:rPr>
          <w:sz w:val="22"/>
          <w:szCs w:val="22"/>
        </w:rPr>
        <w:t xml:space="preserve">№ </w:t>
      </w:r>
      <w:bookmarkEnd w:id="0"/>
      <w:bookmarkEnd w:id="2"/>
      <w:r w:rsidR="00BC0756">
        <w:rPr>
          <w:sz w:val="22"/>
          <w:szCs w:val="22"/>
        </w:rPr>
        <w:t>8</w:t>
      </w:r>
    </w:p>
    <w:p w:rsidR="006737C3" w:rsidRPr="00FD31CA" w:rsidRDefault="00302199" w:rsidP="006737C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7_1"/>
      <w:bookmarkEnd w:id="1"/>
      <w:r w:rsidR="006737C3"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</w:p>
    <w:p w:rsidR="006737C3" w:rsidRPr="00FD31CA" w:rsidRDefault="006737C3" w:rsidP="006737C3">
      <w:pPr>
        <w:ind w:left="-1134" w:right="141"/>
        <w:jc w:val="both"/>
        <w:rPr>
          <w:b/>
          <w:sz w:val="22"/>
          <w:szCs w:val="22"/>
        </w:rPr>
      </w:pPr>
    </w:p>
    <w:p w:rsidR="006737C3" w:rsidRPr="00FD31CA" w:rsidRDefault="006737C3" w:rsidP="006737C3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:rsidR="006737C3" w:rsidRPr="00FD31CA" w:rsidRDefault="006737C3" w:rsidP="006737C3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:rsidR="006737C3" w:rsidRPr="00FD31CA" w:rsidRDefault="006737C3" w:rsidP="006737C3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:rsidR="006737C3" w:rsidRPr="00FD31CA" w:rsidRDefault="006737C3" w:rsidP="006737C3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5211"/>
        <w:gridCol w:w="952"/>
        <w:gridCol w:w="3692"/>
      </w:tblGrid>
      <w:tr w:rsidR="006737C3" w:rsidRPr="00FD31CA" w:rsidTr="00026ED5">
        <w:tc>
          <w:tcPr>
            <w:tcW w:w="257" w:type="pct"/>
            <w:vMerge w:val="restart"/>
            <w:vAlign w:val="center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8" w:type="pct"/>
            <w:vMerge w:val="restart"/>
            <w:vAlign w:val="center"/>
          </w:tcPr>
          <w:p w:rsidR="006737C3" w:rsidRPr="00FD31CA" w:rsidRDefault="006737C3" w:rsidP="00026ED5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:rsidR="006737C3" w:rsidRPr="00FD31CA" w:rsidRDefault="006737C3" w:rsidP="00026ED5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Мера ответственности/штрафная санкция</w:t>
            </w:r>
          </w:p>
        </w:tc>
      </w:tr>
      <w:tr w:rsidR="006737C3" w:rsidRPr="00FD31CA" w:rsidTr="00026ED5">
        <w:tc>
          <w:tcPr>
            <w:tcW w:w="257" w:type="pct"/>
            <w:vMerge/>
            <w:vAlign w:val="center"/>
          </w:tcPr>
          <w:p w:rsidR="006737C3" w:rsidRPr="00FD31CA" w:rsidRDefault="006737C3" w:rsidP="00026ED5">
            <w:pPr>
              <w:ind w:left="720"/>
              <w:jc w:val="center"/>
              <w:rPr>
                <w:sz w:val="22"/>
                <w:szCs w:val="22"/>
              </w:rPr>
            </w:pPr>
          </w:p>
        </w:tc>
        <w:tc>
          <w:tcPr>
            <w:tcW w:w="2508" w:type="pct"/>
            <w:vMerge/>
            <w:vAlign w:val="center"/>
          </w:tcPr>
          <w:p w:rsidR="006737C3" w:rsidRPr="00FD31CA" w:rsidRDefault="006737C3" w:rsidP="00026E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8" w:type="pct"/>
            <w:vAlign w:val="center"/>
          </w:tcPr>
          <w:p w:rsidR="006737C3" w:rsidRPr="00FD31CA" w:rsidRDefault="006737C3" w:rsidP="00026ED5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</w:t>
            </w:r>
          </w:p>
          <w:p w:rsidR="006737C3" w:rsidRPr="00FD31CA" w:rsidRDefault="006737C3" w:rsidP="00026ED5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77" w:type="pct"/>
            <w:vAlign w:val="center"/>
          </w:tcPr>
          <w:p w:rsidR="006737C3" w:rsidRPr="00FD31CA" w:rsidRDefault="006737C3" w:rsidP="00026ED5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:rsidR="006737C3" w:rsidRPr="00FD31CA" w:rsidRDefault="006737C3" w:rsidP="00026ED5">
            <w:pPr>
              <w:rPr>
                <w:i/>
                <w:sz w:val="22"/>
                <w:szCs w:val="22"/>
              </w:rPr>
            </w:pP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Отсутствие у работников документов, подтверждающих их аттестацию,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="00197C2B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:rsidR="006737C3" w:rsidRPr="00FD31CA" w:rsidRDefault="006737C3" w:rsidP="00026ED5">
            <w:pPr>
              <w:rPr>
                <w:sz w:val="22"/>
                <w:szCs w:val="22"/>
              </w:rPr>
            </w:pP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481694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:rsidR="006737C3" w:rsidRPr="00FD31CA" w:rsidRDefault="006737C3" w:rsidP="00026ED5">
            <w:pPr>
              <w:rPr>
                <w:sz w:val="22"/>
                <w:szCs w:val="22"/>
              </w:rPr>
            </w:pP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Нарушение правил по охране труда при работе на высоте.</w:t>
            </w:r>
          </w:p>
          <w:p w:rsidR="006737C3" w:rsidRPr="00FD31CA" w:rsidRDefault="006737C3" w:rsidP="00026ED5">
            <w:pPr>
              <w:rPr>
                <w:sz w:val="22"/>
                <w:szCs w:val="22"/>
              </w:rPr>
            </w:pP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6737C3" w:rsidRPr="002E3E37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  <w:vMerge w:val="restar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</w:p>
        </w:tc>
      </w:tr>
      <w:tr w:rsidR="006737C3" w:rsidRPr="00FD31CA" w:rsidTr="00026ED5">
        <w:tc>
          <w:tcPr>
            <w:tcW w:w="257" w:type="pct"/>
            <w:vMerge/>
          </w:tcPr>
          <w:p w:rsidR="006737C3" w:rsidRPr="00FD31CA" w:rsidRDefault="006737C3" w:rsidP="00026ED5">
            <w:pPr>
              <w:ind w:left="170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rPr>
          <w:trHeight w:val="542"/>
        </w:trPr>
        <w:tc>
          <w:tcPr>
            <w:tcW w:w="257" w:type="pct"/>
            <w:vMerge/>
          </w:tcPr>
          <w:p w:rsidR="006737C3" w:rsidRPr="00FD31CA" w:rsidRDefault="006737C3" w:rsidP="00026ED5">
            <w:pPr>
              <w:ind w:left="170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481694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Нарушение правил по охране труда и промышленной безопасностипри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005C26" w:rsidTr="00026ED5">
        <w:tc>
          <w:tcPr>
            <w:tcW w:w="257" w:type="pct"/>
          </w:tcPr>
          <w:p w:rsidR="006737C3" w:rsidRPr="00005C26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bookmarkStart w:id="4" w:name="_Ref496878534"/>
          </w:p>
        </w:tc>
        <w:bookmarkEnd w:id="4"/>
        <w:tc>
          <w:tcPr>
            <w:tcW w:w="2508" w:type="pct"/>
          </w:tcPr>
          <w:p w:rsidR="006737C3" w:rsidRPr="00EB3BB0" w:rsidRDefault="006737C3" w:rsidP="00026ED5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:rsidR="006737C3" w:rsidRPr="00005C26" w:rsidRDefault="006737C3" w:rsidP="00026ED5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005C26" w:rsidRDefault="006737C3" w:rsidP="00026ED5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Несоответствующее складирование Материалов.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EB3BB0" w:rsidRDefault="006737C3" w:rsidP="00026ED5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Нарушение требований действующего законодательства в области обращения с отходами</w:t>
            </w:r>
            <w:r w:rsidR="00BA4145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spacing w:before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Остановка</w:t>
            </w:r>
            <w:r w:rsidR="00BA4145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работ.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EB3BB0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</w:rPr>
              <w:t>адчики, сваебойные установки).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объекта, остановка работ,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Нарушения требований промышленной </w:t>
            </w:r>
            <w:r w:rsidRPr="00FD31CA">
              <w:rPr>
                <w:sz w:val="22"/>
                <w:szCs w:val="22"/>
              </w:rPr>
              <w:lastRenderedPageBreak/>
              <w:t>безопасности.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Отстранение от работы, удаление </w:t>
            </w:r>
            <w:r w:rsidRPr="00FD31CA">
              <w:rPr>
                <w:sz w:val="22"/>
                <w:szCs w:val="22"/>
              </w:rPr>
              <w:lastRenderedPageBreak/>
              <w:t>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Нарушение требований экологической безопасности.</w:t>
            </w:r>
          </w:p>
          <w:p w:rsidR="006737C3" w:rsidRPr="00FD31CA" w:rsidRDefault="006737C3" w:rsidP="00026ED5">
            <w:pPr>
              <w:rPr>
                <w:sz w:val="22"/>
                <w:szCs w:val="22"/>
              </w:rPr>
            </w:pPr>
          </w:p>
        </w:tc>
        <w:tc>
          <w:tcPr>
            <w:tcW w:w="458" w:type="pct"/>
          </w:tcPr>
          <w:p w:rsidR="006737C3" w:rsidRPr="00F0733B" w:rsidRDefault="006737C3" w:rsidP="00026ED5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0733B" w:rsidRDefault="006737C3" w:rsidP="00026E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:rsidR="006737C3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Отсутствие достаточного количества специалистов поОТна Объекте и/или не предоставления документов (уведомлений)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проверка соблюдения данной обязанности и применение мер ответственности производится Заказчиком ежемесячно).</w:t>
            </w:r>
          </w:p>
          <w:p w:rsidR="006737C3" w:rsidRPr="00FD31CA" w:rsidRDefault="006737C3" w:rsidP="00026ED5">
            <w:pPr>
              <w:rPr>
                <w:sz w:val="22"/>
                <w:szCs w:val="22"/>
              </w:rPr>
            </w:pP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Отсутствие специалиста по ОТ на рабочем месте более 2 (двух) часов.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Иные нарушения требований охраны труда, промышленной, экологической, пожарной и иной безопасности, не указанные в пп.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6737C3" w:rsidRPr="00FD31CA" w:rsidTr="00026ED5">
        <w:tc>
          <w:tcPr>
            <w:tcW w:w="257" w:type="pct"/>
          </w:tcPr>
          <w:p w:rsidR="006737C3" w:rsidRPr="00FD31CA" w:rsidRDefault="006737C3" w:rsidP="00026ED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6737C3" w:rsidRPr="00090B15" w:rsidRDefault="006737C3" w:rsidP="00026E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:rsidR="006737C3" w:rsidRPr="00F0733B" w:rsidRDefault="006737C3" w:rsidP="00026ED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:rsidR="006737C3" w:rsidRPr="00F0733B" w:rsidRDefault="006737C3" w:rsidP="00026E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9321FE" w:rsidRPr="00FD31CA" w:rsidTr="008F24B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FE" w:rsidRPr="009321FE" w:rsidRDefault="009321FE" w:rsidP="009321F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9321FE" w:rsidRPr="00674C12" w:rsidRDefault="009321FE" w:rsidP="009321FE">
            <w:pPr>
              <w:rPr>
                <w:sz w:val="22"/>
                <w:szCs w:val="22"/>
              </w:rPr>
            </w:pPr>
            <w:r w:rsidRPr="00674C12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:rsidR="009321FE" w:rsidRPr="00674C12" w:rsidRDefault="009321FE" w:rsidP="009321FE">
            <w:pPr>
              <w:jc w:val="center"/>
              <w:rPr>
                <w:sz w:val="22"/>
                <w:szCs w:val="22"/>
                <w:lang w:val="en-US"/>
              </w:rPr>
            </w:pPr>
            <w:r w:rsidRPr="00674C12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:rsidR="009321FE" w:rsidRPr="00674C12" w:rsidRDefault="009321FE" w:rsidP="009321FE">
            <w:pPr>
              <w:jc w:val="both"/>
              <w:rPr>
                <w:sz w:val="22"/>
                <w:szCs w:val="22"/>
              </w:rPr>
            </w:pPr>
            <w:r w:rsidRPr="00674C12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9321FE" w:rsidRPr="00FD31CA" w:rsidTr="00026ED5">
        <w:tc>
          <w:tcPr>
            <w:tcW w:w="257" w:type="pct"/>
          </w:tcPr>
          <w:p w:rsidR="009321FE" w:rsidRPr="00FD31CA" w:rsidRDefault="009321FE" w:rsidP="009321FE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508" w:type="pct"/>
          </w:tcPr>
          <w:p w:rsidR="009321FE" w:rsidRPr="00674C12" w:rsidRDefault="009321FE" w:rsidP="009321FE">
            <w:pPr>
              <w:rPr>
                <w:sz w:val="22"/>
                <w:szCs w:val="22"/>
              </w:rPr>
            </w:pPr>
            <w:r w:rsidRPr="00674C12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:rsidR="009321FE" w:rsidRPr="00674C12" w:rsidRDefault="009321FE" w:rsidP="009321FE">
            <w:pPr>
              <w:jc w:val="center"/>
              <w:rPr>
                <w:sz w:val="22"/>
                <w:szCs w:val="22"/>
              </w:rPr>
            </w:pPr>
          </w:p>
          <w:p w:rsidR="009321FE" w:rsidRPr="00674C12" w:rsidRDefault="009321FE" w:rsidP="009321FE">
            <w:pPr>
              <w:rPr>
                <w:sz w:val="22"/>
                <w:szCs w:val="22"/>
                <w:lang w:val="en-US"/>
              </w:rPr>
            </w:pPr>
            <w:r w:rsidRPr="00674C12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777" w:type="pct"/>
          </w:tcPr>
          <w:p w:rsidR="009321FE" w:rsidRPr="00674C12" w:rsidRDefault="009321FE" w:rsidP="009321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674C12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:rsidR="006737C3" w:rsidRPr="00FD31CA" w:rsidRDefault="006737C3" w:rsidP="006737C3">
      <w:pPr>
        <w:ind w:left="-1134" w:right="141"/>
        <w:jc w:val="both"/>
        <w:rPr>
          <w:b/>
          <w:sz w:val="22"/>
          <w:szCs w:val="22"/>
        </w:rPr>
      </w:pPr>
    </w:p>
    <w:p w:rsidR="00600ECB" w:rsidRDefault="00600ECB" w:rsidP="006737C3">
      <w:pPr>
        <w:ind w:left="-1134" w:right="141"/>
        <w:jc w:val="center"/>
        <w:rPr>
          <w:b/>
          <w:sz w:val="22"/>
          <w:szCs w:val="22"/>
        </w:rPr>
      </w:pPr>
    </w:p>
    <w:p w:rsidR="006737C3" w:rsidRPr="00FD31CA" w:rsidRDefault="006737C3" w:rsidP="006737C3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:rsidR="006737C3" w:rsidRPr="00FD31CA" w:rsidRDefault="006737C3" w:rsidP="006737C3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6737C3" w:rsidRPr="00FD31CA" w:rsidRDefault="006737C3" w:rsidP="006737C3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5247"/>
        <w:gridCol w:w="1275"/>
        <w:gridCol w:w="3401"/>
      </w:tblGrid>
      <w:tr w:rsidR="006737C3" w:rsidRPr="00FD31CA" w:rsidTr="00026ED5">
        <w:tc>
          <w:tcPr>
            <w:tcW w:w="270" w:type="pct"/>
          </w:tcPr>
          <w:p w:rsidR="006737C3" w:rsidRPr="00FD31CA" w:rsidRDefault="006737C3" w:rsidP="00026E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:rsidR="006737C3" w:rsidRPr="00FD31CA" w:rsidRDefault="006737C3" w:rsidP="00026ED5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:rsidR="006737C3" w:rsidRPr="00FD31CA" w:rsidRDefault="006737C3" w:rsidP="00026ED5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:rsidR="006737C3" w:rsidRPr="00FD31CA" w:rsidRDefault="006737C3" w:rsidP="00026ED5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:rsidR="006737C3" w:rsidRPr="00FD31CA" w:rsidRDefault="006737C3" w:rsidP="00026ED5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7736"/>
          </w:p>
        </w:tc>
        <w:bookmarkEnd w:id="5"/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 w:rsidR="00C7608A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2C19E1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6737C3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:rsidR="006737C3" w:rsidRPr="00FD31CA" w:rsidRDefault="006737C3" w:rsidP="00026ED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6" w:name="_Ref496878826"/>
          </w:p>
        </w:tc>
        <w:bookmarkEnd w:id="6"/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 w:rsidR="00FD69F7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7" w:name="_Ref496879343"/>
          </w:p>
        </w:tc>
        <w:bookmarkEnd w:id="7"/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Непредъявление сотруднику охраны по его требованию вносимых (выносимых) сумок, пакетов, коробок, упаковок и пр. для досмотра.</w:t>
            </w:r>
          </w:p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 w:rsidR="00AA1F77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600ECB">
        <w:trPr>
          <w:trHeight w:val="1139"/>
        </w:trPr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6737C3" w:rsidRPr="00FD31CA" w:rsidTr="00600ECB">
        <w:trPr>
          <w:trHeight w:val="1490"/>
        </w:trPr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 w:rsidR="00863B2E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</w:p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 xml:space="preserve"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</w:t>
            </w:r>
            <w:r w:rsidRPr="00FD31CA">
              <w:rPr>
                <w:sz w:val="22"/>
                <w:szCs w:val="22"/>
              </w:rPr>
              <w:lastRenderedPageBreak/>
              <w:t>наказуемого деяния (преступления).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 w:rsidR="006C2E0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FD31CA" w:rsidRDefault="006737C3" w:rsidP="00026ED5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6737C3" w:rsidRPr="00FD31CA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6737C3" w:rsidRPr="00FD31CA" w:rsidTr="00026ED5">
        <w:tc>
          <w:tcPr>
            <w:tcW w:w="270" w:type="pct"/>
          </w:tcPr>
          <w:p w:rsidR="006737C3" w:rsidRPr="00FD31CA" w:rsidRDefault="006737C3" w:rsidP="006737C3">
            <w:pPr>
              <w:numPr>
                <w:ilvl w:val="0"/>
                <w:numId w:val="8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6737C3" w:rsidRPr="00427933" w:rsidRDefault="006737C3" w:rsidP="00026ED5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</w:t>
            </w:r>
            <w:r w:rsidR="00701CF9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6737C3" w:rsidRDefault="006737C3" w:rsidP="00026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:rsidR="006737C3" w:rsidRPr="00FD31CA" w:rsidRDefault="006737C3" w:rsidP="00026ED5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:rsidR="006737C3" w:rsidRPr="00FD31CA" w:rsidRDefault="006737C3" w:rsidP="006737C3">
      <w:pPr>
        <w:ind w:left="-1134"/>
        <w:jc w:val="both"/>
        <w:rPr>
          <w:sz w:val="22"/>
          <w:szCs w:val="22"/>
        </w:rPr>
      </w:pPr>
    </w:p>
    <w:p w:rsidR="006737C3" w:rsidRPr="00FD31CA" w:rsidRDefault="006737C3" w:rsidP="006737C3">
      <w:pPr>
        <w:ind w:left="-28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:rsidR="006737C3" w:rsidRPr="00FD31CA" w:rsidRDefault="006737C3" w:rsidP="006737C3">
      <w:pPr>
        <w:ind w:left="-28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6737C3" w:rsidRPr="00FD31CA" w:rsidRDefault="006737C3" w:rsidP="006737C3">
      <w:pPr>
        <w:ind w:left="-284"/>
        <w:jc w:val="both"/>
        <w:rPr>
          <w:sz w:val="22"/>
          <w:szCs w:val="22"/>
        </w:rPr>
      </w:pPr>
    </w:p>
    <w:p w:rsidR="00E00AFD" w:rsidRDefault="00E00AFD" w:rsidP="006737C3">
      <w:pPr>
        <w:ind w:left="-284" w:right="141"/>
        <w:jc w:val="center"/>
        <w:rPr>
          <w:b/>
          <w:sz w:val="22"/>
          <w:szCs w:val="22"/>
        </w:rPr>
      </w:pPr>
    </w:p>
    <w:p w:rsidR="00600ECB" w:rsidRPr="008B7D93" w:rsidRDefault="00600ECB" w:rsidP="006737C3">
      <w:pPr>
        <w:ind w:left="-284" w:right="141"/>
        <w:jc w:val="center"/>
        <w:rPr>
          <w:b/>
          <w:sz w:val="22"/>
          <w:szCs w:val="22"/>
        </w:rPr>
      </w:pPr>
    </w:p>
    <w:p w:rsidR="006737C3" w:rsidRPr="00FD31CA" w:rsidRDefault="006737C3" w:rsidP="006737C3">
      <w:pPr>
        <w:ind w:left="-28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:rsidR="006737C3" w:rsidRPr="00FD31CA" w:rsidRDefault="006737C3" w:rsidP="006737C3">
      <w:pPr>
        <w:ind w:left="-28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:rsidR="006737C3" w:rsidRPr="00FD31CA" w:rsidRDefault="006737C3" w:rsidP="006737C3">
      <w:pPr>
        <w:ind w:left="-284" w:firstLine="567"/>
        <w:jc w:val="both"/>
        <w:rPr>
          <w:sz w:val="22"/>
          <w:szCs w:val="22"/>
        </w:rPr>
      </w:pPr>
    </w:p>
    <w:p w:rsidR="006737C3" w:rsidRPr="00FD31CA" w:rsidRDefault="006737C3" w:rsidP="006737C3">
      <w:pPr>
        <w:ind w:left="-28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:rsidR="006737C3" w:rsidRPr="00FD31CA" w:rsidRDefault="006737C3" w:rsidP="006737C3">
      <w:pPr>
        <w:ind w:left="-28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6737C3" w:rsidRPr="00FD31CA" w:rsidRDefault="006737C3" w:rsidP="006737C3">
      <w:pPr>
        <w:ind w:left="-28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:rsidR="006737C3" w:rsidRPr="00FD31CA" w:rsidRDefault="006737C3" w:rsidP="006737C3">
      <w:pPr>
        <w:ind w:left="-28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:rsidR="006737C3" w:rsidRPr="00FD31CA" w:rsidRDefault="006737C3" w:rsidP="006737C3">
      <w:pPr>
        <w:ind w:left="-28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6737C3" w:rsidRPr="00FD31CA" w:rsidRDefault="006737C3" w:rsidP="006737C3">
      <w:pPr>
        <w:ind w:left="-28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</w:t>
      </w:r>
      <w:r w:rsidRPr="00FD31CA">
        <w:rPr>
          <w:sz w:val="22"/>
          <w:szCs w:val="22"/>
        </w:rPr>
        <w:lastRenderedPageBreak/>
        <w:t xml:space="preserve">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6737C3" w:rsidRPr="00FD31CA" w:rsidRDefault="006737C3" w:rsidP="006737C3">
      <w:pPr>
        <w:ind w:left="-28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:rsidR="006737C3" w:rsidRPr="00FD31CA" w:rsidRDefault="006737C3" w:rsidP="006737C3">
      <w:pPr>
        <w:ind w:left="-28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:rsidR="00302199" w:rsidRPr="00C636A2" w:rsidRDefault="00302199" w:rsidP="006737C3">
      <w:pPr>
        <w:pStyle w:val="SCH"/>
        <w:numPr>
          <w:ilvl w:val="0"/>
          <w:numId w:val="0"/>
        </w:numPr>
        <w:spacing w:line="240" w:lineRule="auto"/>
        <w:ind w:left="-284" w:firstLine="6804"/>
        <w:jc w:val="center"/>
        <w:outlineLvl w:val="0"/>
        <w:rPr>
          <w:sz w:val="22"/>
          <w:szCs w:val="22"/>
        </w:rPr>
      </w:pPr>
    </w:p>
    <w:p w:rsidR="00600ECB" w:rsidRDefault="00600ECB" w:rsidP="006737C3">
      <w:pPr>
        <w:pStyle w:val="a9"/>
        <w:ind w:left="360"/>
        <w:jc w:val="center"/>
        <w:rPr>
          <w:i w:val="0"/>
          <w:color w:val="auto"/>
        </w:rPr>
      </w:pPr>
    </w:p>
    <w:p w:rsidR="00302199" w:rsidRDefault="00302199" w:rsidP="006737C3">
      <w:pPr>
        <w:pStyle w:val="a9"/>
        <w:ind w:left="36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Style w:val="aa"/>
        <w:tblW w:w="0" w:type="auto"/>
        <w:tblBorders>
          <w:top w:val="dashed" w:sz="4" w:space="0" w:color="EEECE1" w:themeColor="background2"/>
          <w:left w:val="dashed" w:sz="4" w:space="0" w:color="EEECE1" w:themeColor="background2"/>
          <w:bottom w:val="dashed" w:sz="4" w:space="0" w:color="EEECE1" w:themeColor="background2"/>
          <w:right w:val="dashed" w:sz="4" w:space="0" w:color="EEECE1" w:themeColor="background2"/>
          <w:insideH w:val="dashed" w:sz="4" w:space="0" w:color="EEECE1" w:themeColor="background2"/>
          <w:insideV w:val="dashed" w:sz="4" w:space="0" w:color="EEECE1" w:themeColor="background2"/>
        </w:tblBorders>
        <w:tblLook w:val="04A0" w:firstRow="1" w:lastRow="0" w:firstColumn="1" w:lastColumn="0" w:noHBand="0" w:noVBand="1"/>
      </w:tblPr>
      <w:tblGrid>
        <w:gridCol w:w="4707"/>
        <w:gridCol w:w="4707"/>
      </w:tblGrid>
      <w:tr w:rsidR="00BC47BD" w:rsidTr="00C64516">
        <w:trPr>
          <w:trHeight w:val="223"/>
        </w:trPr>
        <w:tc>
          <w:tcPr>
            <w:tcW w:w="4707" w:type="dxa"/>
          </w:tcPr>
          <w:p w:rsidR="00BC47BD" w:rsidRDefault="00BC47BD" w:rsidP="00C64516">
            <w:pPr>
              <w:pStyle w:val="a7"/>
              <w:outlineLvl w:val="0"/>
              <w:rPr>
                <w:sz w:val="22"/>
                <w:szCs w:val="22"/>
              </w:rPr>
            </w:pPr>
            <w:r w:rsidRPr="003A1BFE"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4707" w:type="dxa"/>
          </w:tcPr>
          <w:p w:rsidR="00BC47BD" w:rsidRDefault="00BC47BD" w:rsidP="00C64516">
            <w:pPr>
              <w:pStyle w:val="a7"/>
              <w:jc w:val="right"/>
              <w:outlineLvl w:val="0"/>
              <w:rPr>
                <w:sz w:val="22"/>
                <w:szCs w:val="22"/>
              </w:rPr>
            </w:pPr>
            <w:r w:rsidRPr="003A1BFE"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R="001E424F" w:rsidTr="00C64516">
        <w:trPr>
          <w:trHeight w:val="456"/>
        </w:trPr>
        <w:tc>
          <w:tcPr>
            <w:tcW w:w="4707" w:type="dxa"/>
          </w:tcPr>
          <w:p w:rsidR="001E424F" w:rsidRDefault="001E424F" w:rsidP="001E424F"/>
        </w:tc>
        <w:tc>
          <w:tcPr>
            <w:tcW w:w="4707" w:type="dxa"/>
          </w:tcPr>
          <w:p w:rsidR="001E424F" w:rsidRPr="003A1BFE" w:rsidRDefault="001E424F" w:rsidP="001E424F">
            <w:pPr>
              <w:pStyle w:val="a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E424F" w:rsidTr="00CE69E8">
        <w:trPr>
          <w:trHeight w:val="448"/>
        </w:trPr>
        <w:tc>
          <w:tcPr>
            <w:tcW w:w="4707" w:type="dxa"/>
          </w:tcPr>
          <w:p w:rsidR="001E424F" w:rsidRDefault="001E424F" w:rsidP="001E424F"/>
        </w:tc>
        <w:tc>
          <w:tcPr>
            <w:tcW w:w="4707" w:type="dxa"/>
            <w:vAlign w:val="bottom"/>
          </w:tcPr>
          <w:p w:rsidR="001E424F" w:rsidRPr="003A1BFE" w:rsidRDefault="001E424F" w:rsidP="001E424F">
            <w:pPr>
              <w:pStyle w:val="a7"/>
              <w:jc w:val="right"/>
              <w:outlineLvl w:val="0"/>
              <w:rPr>
                <w:b/>
                <w:bCs/>
                <w:sz w:val="22"/>
                <w:szCs w:val="22"/>
              </w:rPr>
            </w:pPr>
          </w:p>
        </w:tc>
      </w:tr>
      <w:tr w:rsidR="001E424F" w:rsidTr="00C64516">
        <w:trPr>
          <w:trHeight w:val="223"/>
        </w:trPr>
        <w:tc>
          <w:tcPr>
            <w:tcW w:w="4707" w:type="dxa"/>
          </w:tcPr>
          <w:p w:rsidR="001E424F" w:rsidRDefault="001E424F" w:rsidP="001E424F">
            <w:r w:rsidRPr="00C16013">
              <w:t>___________________/______________/</w:t>
            </w:r>
          </w:p>
        </w:tc>
        <w:tc>
          <w:tcPr>
            <w:tcW w:w="4707" w:type="dxa"/>
          </w:tcPr>
          <w:p w:rsidR="001E424F" w:rsidRPr="003A1BFE" w:rsidRDefault="001E424F" w:rsidP="001E424F">
            <w:pPr>
              <w:pStyle w:val="a7"/>
              <w:jc w:val="right"/>
              <w:outlineLvl w:val="0"/>
              <w:rPr>
                <w:b/>
                <w:bCs/>
                <w:sz w:val="22"/>
                <w:szCs w:val="22"/>
              </w:rPr>
            </w:pPr>
            <w:r w:rsidRPr="001E424F">
              <w:rPr>
                <w:b/>
                <w:bCs/>
                <w:sz w:val="22"/>
                <w:szCs w:val="22"/>
              </w:rPr>
              <w:t>___________________/______________/</w:t>
            </w:r>
            <w:bookmarkStart w:id="8" w:name="_GoBack"/>
            <w:bookmarkEnd w:id="8"/>
          </w:p>
        </w:tc>
      </w:tr>
    </w:tbl>
    <w:p w:rsidR="005A439C" w:rsidRPr="005A439C" w:rsidRDefault="005A439C" w:rsidP="005A439C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24"/>
          <w:szCs w:val="24"/>
        </w:rPr>
      </w:pPr>
    </w:p>
    <w:p w:rsidR="005A439C" w:rsidRPr="005A439C" w:rsidRDefault="005A439C" w:rsidP="005A439C">
      <w:pPr>
        <w:jc w:val="both"/>
        <w:rPr>
          <w:sz w:val="24"/>
          <w:szCs w:val="24"/>
          <w:lang w:val="x-none" w:eastAsia="x-none"/>
        </w:rPr>
      </w:pPr>
      <w:r w:rsidRPr="005A439C">
        <w:rPr>
          <w:sz w:val="24"/>
          <w:szCs w:val="24"/>
          <w:lang w:val="x-none" w:eastAsia="x-none"/>
        </w:rPr>
        <w:t>М.П.</w:t>
      </w:r>
      <w:r w:rsidRPr="005A439C">
        <w:rPr>
          <w:sz w:val="24"/>
          <w:szCs w:val="24"/>
          <w:lang w:val="x-none" w:eastAsia="x-none"/>
        </w:rPr>
        <w:tab/>
      </w:r>
      <w:r w:rsidRPr="005A439C">
        <w:rPr>
          <w:sz w:val="24"/>
          <w:szCs w:val="24"/>
          <w:lang w:val="x-none" w:eastAsia="x-none"/>
        </w:rPr>
        <w:tab/>
      </w:r>
      <w:r w:rsidRPr="005A439C">
        <w:rPr>
          <w:sz w:val="24"/>
          <w:szCs w:val="24"/>
          <w:lang w:val="x-none" w:eastAsia="x-none"/>
        </w:rPr>
        <w:tab/>
      </w:r>
      <w:r w:rsidRPr="005A439C">
        <w:rPr>
          <w:sz w:val="24"/>
          <w:szCs w:val="24"/>
          <w:lang w:val="x-none" w:eastAsia="x-none"/>
        </w:rPr>
        <w:tab/>
      </w:r>
      <w:r w:rsidRPr="005A439C">
        <w:rPr>
          <w:sz w:val="24"/>
          <w:szCs w:val="24"/>
          <w:lang w:val="x-none" w:eastAsia="x-none"/>
        </w:rPr>
        <w:tab/>
      </w:r>
      <w:r w:rsidRPr="005A439C">
        <w:rPr>
          <w:sz w:val="24"/>
          <w:szCs w:val="24"/>
          <w:lang w:val="x-none" w:eastAsia="x-none"/>
        </w:rPr>
        <w:tab/>
      </w:r>
      <w:r w:rsidRPr="005A439C">
        <w:rPr>
          <w:sz w:val="24"/>
          <w:szCs w:val="24"/>
          <w:lang w:val="x-none" w:eastAsia="x-none"/>
        </w:rPr>
        <w:tab/>
      </w:r>
      <w:r w:rsidRPr="005A439C">
        <w:rPr>
          <w:sz w:val="24"/>
          <w:szCs w:val="24"/>
          <w:lang w:val="x-none" w:eastAsia="x-none"/>
        </w:rPr>
        <w:tab/>
        <w:t>М.П.</w:t>
      </w:r>
    </w:p>
    <w:p w:rsidR="005A439C" w:rsidRDefault="005A439C" w:rsidP="006737C3">
      <w:pPr>
        <w:pStyle w:val="a9"/>
        <w:ind w:left="360"/>
        <w:jc w:val="center"/>
        <w:rPr>
          <w:i w:val="0"/>
          <w:color w:val="auto"/>
        </w:rPr>
      </w:pPr>
    </w:p>
    <w:p w:rsidR="0090656E" w:rsidRPr="005917AF" w:rsidRDefault="0090656E" w:rsidP="006737C3">
      <w:pPr>
        <w:pStyle w:val="a9"/>
        <w:ind w:left="360"/>
        <w:jc w:val="center"/>
        <w:rPr>
          <w:i w:val="0"/>
          <w:color w:val="auto"/>
        </w:rPr>
      </w:pPr>
    </w:p>
    <w:p w:rsidR="00B44FFA" w:rsidRDefault="00B44FFA" w:rsidP="00B44FFA"/>
    <w:p w:rsidR="00391B87" w:rsidRPr="00B44FFA" w:rsidRDefault="00391B87" w:rsidP="00B44FFA"/>
    <w:sectPr w:rsidR="00391B87" w:rsidRPr="00B44FFA" w:rsidSect="00600ECB">
      <w:footerReference w:type="default" r:id="rId7"/>
      <w:pgSz w:w="11906" w:h="16838" w:code="9"/>
      <w:pgMar w:top="102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892" w:rsidRDefault="003E0892" w:rsidP="00302199">
      <w:r>
        <w:separator/>
      </w:r>
    </w:p>
  </w:endnote>
  <w:endnote w:type="continuationSeparator" w:id="0">
    <w:p w:rsidR="003E0892" w:rsidRDefault="003E0892" w:rsidP="0030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6122486"/>
      <w:docPartObj>
        <w:docPartGallery w:val="Page Numbers (Bottom of Page)"/>
        <w:docPartUnique/>
      </w:docPartObj>
    </w:sdtPr>
    <w:sdtEndPr/>
    <w:sdtContent>
      <w:p w:rsidR="00302199" w:rsidRDefault="00D75DAE">
        <w:pPr>
          <w:pStyle w:val="a5"/>
          <w:jc w:val="right"/>
        </w:pPr>
        <w:r>
          <w:fldChar w:fldCharType="begin"/>
        </w:r>
        <w:r w:rsidR="00302199">
          <w:instrText>PAGE   \* MERGEFORMAT</w:instrText>
        </w:r>
        <w:r>
          <w:fldChar w:fldCharType="separate"/>
        </w:r>
        <w:r w:rsidR="001E424F">
          <w:rPr>
            <w:noProof/>
          </w:rPr>
          <w:t>7</w:t>
        </w:r>
        <w:r>
          <w:fldChar w:fldCharType="end"/>
        </w:r>
      </w:p>
    </w:sdtContent>
  </w:sdt>
  <w:p w:rsidR="00302199" w:rsidRDefault="003021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892" w:rsidRDefault="003E0892" w:rsidP="00302199">
      <w:r>
        <w:separator/>
      </w:r>
    </w:p>
  </w:footnote>
  <w:footnote w:type="continuationSeparator" w:id="0">
    <w:p w:rsidR="003E0892" w:rsidRDefault="003E0892" w:rsidP="00302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86F4B20A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0249D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2199"/>
    <w:rsid w:val="000017F4"/>
    <w:rsid w:val="00045405"/>
    <w:rsid w:val="000564BF"/>
    <w:rsid w:val="00163F49"/>
    <w:rsid w:val="00186E77"/>
    <w:rsid w:val="00193067"/>
    <w:rsid w:val="00197C2B"/>
    <w:rsid w:val="001E012A"/>
    <w:rsid w:val="001E424F"/>
    <w:rsid w:val="002025F1"/>
    <w:rsid w:val="0021509B"/>
    <w:rsid w:val="002803EF"/>
    <w:rsid w:val="002C2070"/>
    <w:rsid w:val="00302199"/>
    <w:rsid w:val="00391B87"/>
    <w:rsid w:val="003E0892"/>
    <w:rsid w:val="004D0577"/>
    <w:rsid w:val="004E4A43"/>
    <w:rsid w:val="00521F80"/>
    <w:rsid w:val="005A439C"/>
    <w:rsid w:val="00600ECB"/>
    <w:rsid w:val="00636325"/>
    <w:rsid w:val="006737C3"/>
    <w:rsid w:val="00674C12"/>
    <w:rsid w:val="006C2E02"/>
    <w:rsid w:val="00701CF9"/>
    <w:rsid w:val="007A4245"/>
    <w:rsid w:val="00857059"/>
    <w:rsid w:val="00863B2E"/>
    <w:rsid w:val="008B7D93"/>
    <w:rsid w:val="0090656E"/>
    <w:rsid w:val="009321FE"/>
    <w:rsid w:val="0093569A"/>
    <w:rsid w:val="00936242"/>
    <w:rsid w:val="009557C6"/>
    <w:rsid w:val="00A33827"/>
    <w:rsid w:val="00AA1F77"/>
    <w:rsid w:val="00AC3B34"/>
    <w:rsid w:val="00AD6648"/>
    <w:rsid w:val="00B44FFA"/>
    <w:rsid w:val="00BA4145"/>
    <w:rsid w:val="00BC0756"/>
    <w:rsid w:val="00BC47BD"/>
    <w:rsid w:val="00C566F4"/>
    <w:rsid w:val="00C7608A"/>
    <w:rsid w:val="00CD2F4D"/>
    <w:rsid w:val="00CD4CC8"/>
    <w:rsid w:val="00D15F6E"/>
    <w:rsid w:val="00D6579A"/>
    <w:rsid w:val="00D75DAE"/>
    <w:rsid w:val="00DB6618"/>
    <w:rsid w:val="00E00AFD"/>
    <w:rsid w:val="00F17E11"/>
    <w:rsid w:val="00F437F5"/>
    <w:rsid w:val="00F44BA8"/>
    <w:rsid w:val="00F7393D"/>
    <w:rsid w:val="00FB5AB8"/>
    <w:rsid w:val="00FD6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55C5F7-FFC7-46B1-832C-2A0C8054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1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2199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021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2199"/>
    <w:rPr>
      <w:sz w:val="24"/>
      <w:szCs w:val="24"/>
    </w:rPr>
  </w:style>
  <w:style w:type="paragraph" w:styleId="a7">
    <w:name w:val="Body Text"/>
    <w:basedOn w:val="a"/>
    <w:link w:val="a8"/>
    <w:uiPriority w:val="99"/>
    <w:rsid w:val="00302199"/>
    <w:pPr>
      <w:jc w:val="center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302199"/>
    <w:rPr>
      <w:sz w:val="24"/>
      <w:szCs w:val="24"/>
    </w:rPr>
  </w:style>
  <w:style w:type="paragraph" w:styleId="a9">
    <w:name w:val="List Paragraph"/>
    <w:basedOn w:val="a"/>
    <w:uiPriority w:val="34"/>
    <w:qFormat/>
    <w:rsid w:val="0030219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0219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02199"/>
    <w:rPr>
      <w:b/>
      <w:i/>
      <w:sz w:val="24"/>
      <w:szCs w:val="24"/>
      <w:lang w:eastAsia="ar-SA"/>
    </w:rPr>
  </w:style>
  <w:style w:type="table" w:styleId="aa">
    <w:name w:val="Table Grid"/>
    <w:basedOn w:val="a1"/>
    <w:uiPriority w:val="59"/>
    <w:rsid w:val="00BC4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2718</Words>
  <Characters>15494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Novikova_A_S</dc:creator>
  <cp:lastModifiedBy>Abrosimova Larisa</cp:lastModifiedBy>
  <cp:revision>40</cp:revision>
  <dcterms:created xsi:type="dcterms:W3CDTF">2019-05-20T03:22:00Z</dcterms:created>
  <dcterms:modified xsi:type="dcterms:W3CDTF">2021-02-24T02:53:00Z</dcterms:modified>
</cp:coreProperties>
</file>